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80" w:rsidRDefault="00CB6180" w:rsidP="00CB6180">
      <w:pPr>
        <w:tabs>
          <w:tab w:val="left" w:pos="0"/>
        </w:tabs>
        <w:ind w:right="26"/>
        <w:jc w:val="center"/>
        <w:rPr>
          <w:b/>
          <w:lang w:val="bg-BG"/>
        </w:rPr>
      </w:pP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CB6180">
        <w:rPr>
          <w:b/>
        </w:rPr>
        <w:t>МЕТОДИКА ЗА ОПРЕДЕЛЯНЕ НА КОМПЛЕКСНАТА ОЦЕНКА НА ОФЕРТИТЕ,</w:t>
      </w:r>
      <w:r w:rsidRPr="00CB6180">
        <w:rPr>
          <w:b/>
          <w:bCs/>
          <w:i/>
          <w:iCs/>
        </w:rPr>
        <w:t xml:space="preserve">   </w:t>
      </w:r>
      <w:r w:rsidRPr="00CB6180">
        <w:rPr>
          <w:b/>
        </w:rPr>
        <w:t>ПОКАЗАТЕЛИТЕ И ОТНОСИТЕЛНАТА ИМ ТЕЖЕСТ</w:t>
      </w: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CB6180" w:rsidRPr="00CB6180" w:rsidRDefault="00CB6180" w:rsidP="00CB6180">
      <w:pPr>
        <w:tabs>
          <w:tab w:val="left" w:pos="0"/>
        </w:tabs>
        <w:spacing w:after="120"/>
        <w:ind w:right="28"/>
        <w:jc w:val="center"/>
        <w:rPr>
          <w:b/>
        </w:rPr>
      </w:pPr>
      <w:r w:rsidRPr="00CB6180">
        <w:rPr>
          <w:b/>
          <w:lang w:val="ru-RU"/>
        </w:rPr>
        <w:t xml:space="preserve">За </w:t>
      </w:r>
      <w:proofErr w:type="spellStart"/>
      <w:r w:rsidRPr="00CB6180">
        <w:rPr>
          <w:b/>
          <w:lang w:val="ru-RU"/>
        </w:rPr>
        <w:t>обществена</w:t>
      </w:r>
      <w:proofErr w:type="spellEnd"/>
      <w:r w:rsidRPr="00CB6180">
        <w:rPr>
          <w:b/>
          <w:lang w:val="ru-RU"/>
        </w:rPr>
        <w:t xml:space="preserve"> </w:t>
      </w:r>
      <w:proofErr w:type="spellStart"/>
      <w:r w:rsidRPr="00CB6180">
        <w:rPr>
          <w:b/>
        </w:rPr>
        <w:t>поръчка</w:t>
      </w:r>
      <w:proofErr w:type="spellEnd"/>
      <w:r w:rsidRPr="00CB6180">
        <w:rPr>
          <w:b/>
        </w:rPr>
        <w:t xml:space="preserve"> с </w:t>
      </w:r>
      <w:proofErr w:type="spellStart"/>
      <w:r w:rsidRPr="00CB6180">
        <w:rPr>
          <w:b/>
        </w:rPr>
        <w:t>предмет</w:t>
      </w:r>
      <w:proofErr w:type="spellEnd"/>
      <w:r w:rsidRPr="00CB6180">
        <w:rPr>
          <w:b/>
        </w:rPr>
        <w:t xml:space="preserve">: </w:t>
      </w:r>
    </w:p>
    <w:p w:rsidR="00CB6180" w:rsidRPr="00CB6180" w:rsidRDefault="00CB6180" w:rsidP="00CB6180">
      <w:pPr>
        <w:spacing w:line="360" w:lineRule="auto"/>
        <w:jc w:val="center"/>
        <w:rPr>
          <w:b/>
          <w:caps/>
          <w:color w:val="000000"/>
          <w:lang w:val="bg-BG"/>
        </w:rPr>
      </w:pPr>
      <w:proofErr w:type="gramStart"/>
      <w:r w:rsidRPr="00CB6180">
        <w:rPr>
          <w:b/>
          <w:caps/>
          <w:color w:val="000000"/>
        </w:rPr>
        <w:t>„</w:t>
      </w:r>
      <w:r w:rsidR="0001167B" w:rsidRPr="00C83F5D">
        <w:rPr>
          <w:b/>
          <w:color w:val="000000"/>
          <w:lang w:val="bg-BG" w:eastAsia="bg-BG"/>
        </w:rPr>
        <w:t xml:space="preserve">Упражняване на строителен надзор по проект </w:t>
      </w:r>
      <w:r w:rsidR="0001167B" w:rsidRPr="00C83F5D">
        <w:rPr>
          <w:b/>
          <w:lang w:val="bg-BG"/>
        </w:rPr>
        <w:t>„Реконструкция на улици и тротоари и подмяна на улично осветление на територията на гр.</w:t>
      </w:r>
      <w:proofErr w:type="gramEnd"/>
      <w:r w:rsidR="0001167B" w:rsidRPr="00C83F5D">
        <w:rPr>
          <w:b/>
          <w:lang w:val="bg-BG"/>
        </w:rPr>
        <w:t xml:space="preserve"> Долна баня, Община Долна баня</w:t>
      </w:r>
      <w:r w:rsidRPr="00CB6180">
        <w:rPr>
          <w:b/>
          <w:caps/>
          <w:color w:val="000000"/>
          <w:lang w:val="en-US"/>
        </w:rPr>
        <w:t>”</w:t>
      </w:r>
    </w:p>
    <w:p w:rsidR="00CB6180" w:rsidRPr="00CB6180" w:rsidRDefault="00CB6180" w:rsidP="00CB6180">
      <w:pPr>
        <w:spacing w:before="120" w:after="60"/>
        <w:ind w:right="26"/>
        <w:jc w:val="both"/>
        <w:rPr>
          <w:rFonts w:asciiTheme="minorHAnsi" w:hAnsiTheme="minorHAnsi"/>
          <w:b/>
          <w:lang w:val="bg-BG"/>
        </w:rPr>
      </w:pPr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spellStart"/>
      <w:proofErr w:type="gramStart"/>
      <w:r w:rsidRPr="00CB6180">
        <w:rPr>
          <w:color w:val="000000" w:themeColor="text1"/>
        </w:rPr>
        <w:t>Критерият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оценка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офертите</w:t>
      </w:r>
      <w:proofErr w:type="spellEnd"/>
      <w:r w:rsidRPr="00CB6180">
        <w:rPr>
          <w:color w:val="000000" w:themeColor="text1"/>
        </w:rPr>
        <w:t xml:space="preserve"> е „</w:t>
      </w:r>
      <w:r w:rsidRPr="00CB6180">
        <w:rPr>
          <w:color w:val="000000" w:themeColor="text1"/>
          <w:lang w:val="en-US"/>
        </w:rPr>
        <w:t>O</w:t>
      </w:r>
      <w:proofErr w:type="spellStart"/>
      <w:r w:rsidRPr="00CB6180">
        <w:rPr>
          <w:color w:val="000000" w:themeColor="text1"/>
        </w:rPr>
        <w:t>птимално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съотношение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качество</w:t>
      </w:r>
      <w:proofErr w:type="spellEnd"/>
      <w:r w:rsidRPr="00CB6180">
        <w:rPr>
          <w:color w:val="000000" w:themeColor="text1"/>
        </w:rPr>
        <w:t>/</w:t>
      </w:r>
      <w:proofErr w:type="spellStart"/>
      <w:r w:rsidRPr="00CB6180">
        <w:rPr>
          <w:color w:val="000000" w:themeColor="text1"/>
        </w:rPr>
        <w:t>цена</w:t>
      </w:r>
      <w:proofErr w:type="spellEnd"/>
      <w:r w:rsidRPr="00CB6180">
        <w:rPr>
          <w:color w:val="000000" w:themeColor="text1"/>
        </w:rPr>
        <w:t>”.</w:t>
      </w:r>
      <w:proofErr w:type="gramEnd"/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spellStart"/>
      <w:proofErr w:type="gramStart"/>
      <w:r w:rsidRPr="00CB6180">
        <w:rPr>
          <w:color w:val="000000" w:themeColor="text1"/>
        </w:rPr>
        <w:t>Офертите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участниците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които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отстранени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участие</w:t>
      </w:r>
      <w:proofErr w:type="spellEnd"/>
      <w:r w:rsidRPr="00CB6180">
        <w:rPr>
          <w:color w:val="000000" w:themeColor="text1"/>
        </w:rPr>
        <w:t xml:space="preserve"> в </w:t>
      </w:r>
      <w:proofErr w:type="spellStart"/>
      <w:r w:rsidRPr="00CB6180">
        <w:rPr>
          <w:color w:val="000000" w:themeColor="text1"/>
        </w:rPr>
        <w:t>процедурата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които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отговарят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предварително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обявените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условия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Възложителя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икономически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финансови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технически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възможности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квалификация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подлежат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комплексна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оценка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определяне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офертата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предлагаща</w:t>
      </w:r>
      <w:proofErr w:type="spellEnd"/>
      <w:r w:rsidRPr="00CB6180">
        <w:rPr>
          <w:color w:val="000000" w:themeColor="text1"/>
        </w:rPr>
        <w:t xml:space="preserve"> „</w:t>
      </w:r>
      <w:r w:rsidRPr="00CB6180">
        <w:rPr>
          <w:color w:val="000000" w:themeColor="text1"/>
          <w:lang w:val="en-US"/>
        </w:rPr>
        <w:t>O</w:t>
      </w:r>
      <w:proofErr w:type="spellStart"/>
      <w:r w:rsidRPr="00CB6180">
        <w:rPr>
          <w:color w:val="000000" w:themeColor="text1"/>
        </w:rPr>
        <w:t>птимално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съотношение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качество</w:t>
      </w:r>
      <w:proofErr w:type="spellEnd"/>
      <w:r w:rsidRPr="00CB6180">
        <w:rPr>
          <w:color w:val="000000" w:themeColor="text1"/>
        </w:rPr>
        <w:t>/</w:t>
      </w:r>
      <w:proofErr w:type="spellStart"/>
      <w:r w:rsidRPr="00CB6180">
        <w:rPr>
          <w:color w:val="000000" w:themeColor="text1"/>
        </w:rPr>
        <w:t>цена</w:t>
      </w:r>
      <w:proofErr w:type="spellEnd"/>
      <w:r w:rsidRPr="00CB6180">
        <w:rPr>
          <w:color w:val="000000" w:themeColor="text1"/>
        </w:rPr>
        <w:t>”.</w:t>
      </w:r>
      <w:proofErr w:type="gramEnd"/>
    </w:p>
    <w:p w:rsidR="00181712" w:rsidRPr="00CB6180" w:rsidRDefault="00181712" w:rsidP="00181712">
      <w:pPr>
        <w:tabs>
          <w:tab w:val="left" w:pos="40"/>
        </w:tabs>
        <w:spacing w:after="120"/>
        <w:ind w:left="426"/>
        <w:jc w:val="both"/>
        <w:rPr>
          <w:rFonts w:eastAsia="Calibri"/>
          <w:color w:val="000000" w:themeColor="text1"/>
          <w:shd w:val="clear" w:color="auto" w:fill="FFFFFF"/>
          <w:lang w:eastAsia="ar-SA"/>
        </w:rPr>
      </w:pPr>
      <w:proofErr w:type="spellStart"/>
      <w:proofErr w:type="gram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Настоящата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методика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съдържа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информация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начина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определяне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комплексната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r w:rsidRPr="00CB6180">
        <w:rPr>
          <w:rFonts w:eastAsia="Calibri"/>
          <w:i/>
          <w:iCs/>
          <w:color w:val="000000" w:themeColor="text1"/>
          <w:lang w:eastAsia="ar-SA"/>
        </w:rPr>
        <w:t>(КО)</w:t>
      </w:r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всяка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оферта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показателите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и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относителната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им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тежест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комплексната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както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и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начина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определяне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всеки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показател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.</w:t>
      </w:r>
      <w:proofErr w:type="gramEnd"/>
    </w:p>
    <w:p w:rsidR="00181712" w:rsidRPr="00CB6180" w:rsidRDefault="00181712" w:rsidP="00181712">
      <w:pPr>
        <w:tabs>
          <w:tab w:val="left" w:pos="1134"/>
        </w:tabs>
        <w:spacing w:after="120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Показатели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оценяване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(РРО)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екипа</w:t>
      </w:r>
      <w:proofErr w:type="spellEnd"/>
      <w:r w:rsidRPr="00CB6180">
        <w:rPr>
          <w:rFonts w:eastAsia="Calibri"/>
          <w:color w:val="000000" w:themeColor="text1"/>
        </w:rPr>
        <w:t xml:space="preserve"> –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експертна</w:t>
      </w:r>
      <w:proofErr w:type="spellEnd"/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оценка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(ЦП)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Предложената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лева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ДДС.</w:t>
      </w:r>
      <w:proofErr w:type="gramEnd"/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Комплексната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 xml:space="preserve"> (КО)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офертата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изчислява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формулата</w:t>
      </w:r>
      <w:proofErr w:type="spellEnd"/>
      <w:r w:rsidRPr="00CB6180">
        <w:rPr>
          <w:rFonts w:eastAsia="Calibri"/>
          <w:color w:val="000000" w:themeColor="text1"/>
        </w:rPr>
        <w:t xml:space="preserve">: </w:t>
      </w:r>
    </w:p>
    <w:p w:rsidR="00181712" w:rsidRPr="00CB6180" w:rsidRDefault="00181712" w:rsidP="00181712">
      <w:pPr>
        <w:spacing w:after="120"/>
        <w:jc w:val="center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КО = РРО + ЦП</w:t>
      </w:r>
      <w:r w:rsidRPr="00CB6180">
        <w:rPr>
          <w:rFonts w:eastAsia="Calibri"/>
          <w:color w:val="000000" w:themeColor="text1"/>
        </w:rPr>
        <w:t>;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b/>
          <w:color w:val="000000" w:themeColor="text1"/>
        </w:rPr>
        <w:t xml:space="preserve">КО </w:t>
      </w:r>
      <w:proofErr w:type="spellStart"/>
      <w:r w:rsidRPr="00CB6180">
        <w:rPr>
          <w:rFonts w:eastAsia="Calibri"/>
          <w:color w:val="000000" w:themeColor="text1"/>
        </w:rPr>
        <w:t>има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100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Оценките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отделните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числово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изражение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точност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втория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знак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десетичната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запетая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b/>
          <w:color w:val="000000" w:themeColor="text1"/>
        </w:rPr>
      </w:pPr>
      <w:proofErr w:type="spellStart"/>
      <w:proofErr w:type="gram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първо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място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се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класира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участникът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събрал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най-висока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комплаксна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>.</w:t>
      </w:r>
      <w:proofErr w:type="gramEnd"/>
    </w:p>
    <w:p w:rsidR="00181712" w:rsidRPr="00CB6180" w:rsidRDefault="00181712" w:rsidP="00CB6180">
      <w:pPr>
        <w:tabs>
          <w:tab w:val="left" w:pos="1134"/>
        </w:tabs>
        <w:spacing w:before="240" w:after="120"/>
        <w:ind w:left="425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Относителна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тежест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оценяване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(РРО)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 xml:space="preserve">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(ЦП)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 xml:space="preserve">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</w:p>
    <w:p w:rsidR="00181712" w:rsidRPr="00CB6180" w:rsidRDefault="00181712" w:rsidP="00CB6180">
      <w:pPr>
        <w:spacing w:before="240" w:after="120"/>
        <w:ind w:left="425" w:right="23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чл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 xml:space="preserve">58, </w:t>
      </w:r>
      <w:proofErr w:type="spellStart"/>
      <w:r w:rsidRPr="00CB6180">
        <w:rPr>
          <w:rFonts w:eastAsia="Calibri"/>
          <w:color w:val="000000" w:themeColor="text1"/>
        </w:rPr>
        <w:t>ал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 xml:space="preserve">1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ППЗОП, </w:t>
      </w:r>
      <w:proofErr w:type="spellStart"/>
      <w:r w:rsidRPr="00CB6180">
        <w:rPr>
          <w:rFonts w:eastAsia="Calibri"/>
          <w:color w:val="000000" w:themeColor="text1"/>
        </w:rPr>
        <w:t>Комисията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класира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степента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офертите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предварително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обявените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условия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pacing w:after="120"/>
        <w:ind w:left="426" w:right="23"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Указания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определяне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всеки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</w:t>
      </w:r>
      <w:proofErr w:type="spellEnd"/>
      <w:r w:rsidRPr="00CB6180">
        <w:rPr>
          <w:rFonts w:eastAsia="Calibri"/>
          <w:b/>
          <w:color w:val="000000" w:themeColor="text1"/>
        </w:rPr>
        <w:t xml:space="preserve">: </w:t>
      </w: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 xml:space="preserve">1. </w:t>
      </w:r>
      <w:proofErr w:type="spellStart"/>
      <w:r w:rsidRPr="00CB6180">
        <w:rPr>
          <w:rFonts w:eastAsia="Calibri"/>
          <w:b/>
          <w:color w:val="000000" w:themeColor="text1"/>
        </w:rPr>
        <w:t>Разпределение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ресурсите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color w:val="000000" w:themeColor="text1"/>
        </w:rPr>
        <w:t>организация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екипа</w:t>
      </w:r>
      <w:proofErr w:type="spellEnd"/>
      <w:r w:rsidRPr="00CB6180">
        <w:rPr>
          <w:rFonts w:eastAsia="Calibri"/>
          <w:b/>
          <w:color w:val="000000" w:themeColor="text1"/>
        </w:rPr>
        <w:t xml:space="preserve"> (РРО) – </w:t>
      </w:r>
      <w:proofErr w:type="spellStart"/>
      <w:r w:rsidRPr="00CB6180">
        <w:rPr>
          <w:rFonts w:eastAsia="Calibri"/>
          <w:b/>
          <w:color w:val="000000" w:themeColor="text1"/>
        </w:rPr>
        <w:t>максимален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брой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точки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r w:rsidRPr="00CB6180">
        <w:rPr>
          <w:rFonts w:eastAsia="Calibri"/>
          <w:b/>
          <w:color w:val="000000" w:themeColor="text1"/>
          <w:lang w:val="en-US"/>
        </w:rPr>
        <w:t>5</w:t>
      </w:r>
      <w:r w:rsidRPr="00CB6180">
        <w:rPr>
          <w:rFonts w:eastAsia="Calibri"/>
          <w:b/>
          <w:color w:val="000000" w:themeColor="text1"/>
        </w:rPr>
        <w:t>0</w:t>
      </w:r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color w:val="000000" w:themeColor="text1"/>
          <w:lang w:val="bg-BG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този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ще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извършва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оценка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степента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ефективност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описание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организацията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методологията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работа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указанията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съобразно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целите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изискванията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изложени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Техническ</w:t>
      </w:r>
      <w:proofErr w:type="spellEnd"/>
      <w:r w:rsidR="00CB6180">
        <w:rPr>
          <w:rFonts w:eastAsia="Calibri"/>
          <w:color w:val="000000" w:themeColor="text1"/>
          <w:lang w:val="bg-BG"/>
        </w:rPr>
        <w:t>ата спецификация.</w:t>
      </w:r>
      <w:proofErr w:type="gramEnd"/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proofErr w:type="gramStart"/>
      <w:r w:rsidRPr="00CB6180">
        <w:rPr>
          <w:rFonts w:eastAsia="Calibri"/>
          <w:b/>
          <w:color w:val="000000" w:themeColor="text1"/>
        </w:rPr>
        <w:t>Точките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</w:t>
      </w:r>
      <w:proofErr w:type="spellEnd"/>
      <w:r w:rsidRPr="00CB6180">
        <w:rPr>
          <w:rFonts w:eastAsia="Calibri"/>
          <w:b/>
          <w:color w:val="000000" w:themeColor="text1"/>
        </w:rPr>
        <w:t xml:space="preserve"> РРО </w:t>
      </w:r>
      <w:proofErr w:type="spellStart"/>
      <w:r w:rsidRPr="00CB6180">
        <w:rPr>
          <w:rFonts w:eastAsia="Calibri"/>
          <w:b/>
          <w:color w:val="000000" w:themeColor="text1"/>
        </w:rPr>
        <w:t>ще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бъдат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определяни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оценителната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комисия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въз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основа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експертна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мотивирана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>.</w:t>
      </w:r>
      <w:proofErr w:type="gramEnd"/>
      <w:r w:rsidRPr="00CB6180">
        <w:rPr>
          <w:rFonts w:eastAsia="Calibri"/>
          <w:b/>
          <w:color w:val="000000" w:themeColor="text1"/>
        </w:rPr>
        <w:t xml:space="preserve"> 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lastRenderedPageBreak/>
        <w:t>Указания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разработване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частта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„</w:t>
      </w:r>
      <w:proofErr w:type="spellStart"/>
      <w:r w:rsidRPr="00CB6180">
        <w:rPr>
          <w:rFonts w:eastAsia="Calibri"/>
          <w:b/>
          <w:color w:val="000000" w:themeColor="text1"/>
        </w:rPr>
        <w:t>Разпределение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ресурсите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color w:val="000000" w:themeColor="text1"/>
        </w:rPr>
        <w:t>организация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екипа</w:t>
      </w:r>
      <w:proofErr w:type="spellEnd"/>
      <w:r w:rsidRPr="00CB6180">
        <w:rPr>
          <w:rFonts w:eastAsia="Calibri"/>
          <w:b/>
          <w:color w:val="000000" w:themeColor="text1"/>
        </w:rPr>
        <w:t>“: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 xml:space="preserve">В </w:t>
      </w:r>
      <w:r w:rsidR="00CB6180" w:rsidRPr="00CB6180">
        <w:rPr>
          <w:rFonts w:eastAsia="Calibri"/>
          <w:color w:val="000000" w:themeColor="text1"/>
          <w:lang w:val="bg-BG"/>
        </w:rPr>
        <w:t>предложението за изпълнение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задачите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отделните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експерти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планираните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методите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координация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комуникация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мерките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осигуряване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качеството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методите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съгласуване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други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организационни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аспекти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които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необходими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качественото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срочно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които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считат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най-подходящи</w:t>
      </w:r>
      <w:proofErr w:type="spellEnd"/>
      <w:r w:rsidRPr="00CB6180">
        <w:rPr>
          <w:rFonts w:eastAsia="Calibri"/>
          <w:color w:val="000000" w:themeColor="text1"/>
        </w:rPr>
        <w:t xml:space="preserve">, в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обхвата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заложените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цели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резултати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начина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всяка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включени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обхвата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експертите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Метод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формиране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оценката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color w:val="000000" w:themeColor="text1"/>
        </w:rPr>
        <w:t>Офертите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екипа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оценяват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начин</w:t>
      </w:r>
      <w:proofErr w:type="spellEnd"/>
      <w:r w:rsidRPr="00CB6180">
        <w:rPr>
          <w:rFonts w:eastAsia="Calibri"/>
          <w:color w:val="000000" w:themeColor="text1"/>
        </w:rPr>
        <w:t>:</w:t>
      </w:r>
    </w:p>
    <w:tbl>
      <w:tblPr>
        <w:tblW w:w="90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1984"/>
      </w:tblGrid>
      <w:tr w:rsidR="00112A97" w:rsidRPr="00CB6180" w:rsidTr="00181712">
        <w:trPr>
          <w:cantSplit/>
          <w:trHeight w:val="5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Разпределение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ресурсите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Максимален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брой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точки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– 50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0A06A5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3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33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надгражда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lastRenderedPageBreak/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условие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че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налично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color w:val="000000" w:themeColor="text1"/>
              </w:rPr>
              <w:t>едно</w:t>
            </w:r>
            <w:proofErr w:type="spellEnd"/>
            <w:r w:rsidRPr="00CB6180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следните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обстоятелства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показано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кой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ще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)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ниво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отделна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r w:rsidRPr="00CB6180">
              <w:rPr>
                <w:rFonts w:eastAsia="Calibri"/>
                <w:i/>
                <w:color w:val="000000" w:themeColor="text1"/>
              </w:rPr>
              <w:t>(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целите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настоящата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методика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под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„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“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разбира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обособена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част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която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бъде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самостоятелно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възлагана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отделен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експерт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чието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проследи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еднозначно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т.е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има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ясно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начало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край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измерими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резултати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>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2.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ресурси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нейното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информация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документи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със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заинтересовани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страни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.)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задълженията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/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й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301A71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lastRenderedPageBreak/>
              <w:t>4</w:t>
            </w:r>
            <w:r w:rsidR="00181712" w:rsidRPr="00CB6180">
              <w:rPr>
                <w:rFonts w:eastAsia="Calibri"/>
                <w:color w:val="000000" w:themeColor="text1"/>
              </w:rPr>
              <w:t>0 т.</w:t>
            </w:r>
          </w:p>
        </w:tc>
      </w:tr>
      <w:tr w:rsidR="00112A97" w:rsidRPr="00CB6180" w:rsidTr="00181712">
        <w:trPr>
          <w:trHeight w:val="11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lastRenderedPageBreak/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надгражда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условие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че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налични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color w:val="000000" w:themeColor="text1"/>
              </w:rPr>
              <w:t>две</w:t>
            </w:r>
            <w:proofErr w:type="spellEnd"/>
            <w:r w:rsidRPr="00CB6180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следните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обстоятелства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показано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кой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ще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)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ниво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отделна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r w:rsidRPr="00CB6180">
              <w:rPr>
                <w:rFonts w:eastAsia="Calibri"/>
                <w:i/>
                <w:color w:val="000000" w:themeColor="text1"/>
              </w:rPr>
              <w:t>(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целите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настоящата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методика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под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„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“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разбира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обособена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част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която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бъде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самостоятелно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възлагана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отделен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експерт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чието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проследи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еднозначно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т.е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има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ясно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начало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край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измерими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резултати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>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2.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ресурси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нейното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информация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документи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със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заинтересовани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страни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.)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задълженията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/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й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DF31D7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5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</w:tbl>
    <w:p w:rsidR="00CB6180" w:rsidRDefault="00CB6180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</w:rPr>
      </w:pPr>
      <w:proofErr w:type="spellStart"/>
      <w:r w:rsidRPr="00CB6180">
        <w:rPr>
          <w:rFonts w:eastAsia="Calibri"/>
          <w:b/>
          <w:i/>
          <w:color w:val="000000" w:themeColor="text1"/>
        </w:rPr>
        <w:t>Предложения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относно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задачите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i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между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предлаганите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експерти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, </w:t>
      </w:r>
      <w:proofErr w:type="spellStart"/>
      <w:r w:rsidRPr="00CB6180">
        <w:rPr>
          <w:rFonts w:eastAsia="Calibri"/>
          <w:b/>
          <w:i/>
          <w:color w:val="000000" w:themeColor="text1"/>
        </w:rPr>
        <w:t>които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отговарят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r w:rsidR="00CB6180">
        <w:rPr>
          <w:rFonts w:eastAsia="Calibri"/>
          <w:b/>
          <w:i/>
          <w:color w:val="000000" w:themeColor="text1"/>
          <w:lang w:val="bg-BG"/>
        </w:rPr>
        <w:t>техническата спецификация</w:t>
      </w:r>
      <w:r w:rsidRPr="00CB6180">
        <w:rPr>
          <w:rFonts w:eastAsia="Calibri"/>
          <w:b/>
          <w:i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i/>
          <w:color w:val="000000" w:themeColor="text1"/>
        </w:rPr>
        <w:t>минималните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изисквания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към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съдържанието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този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подпоказател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или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ако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липсва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lastRenderedPageBreak/>
        <w:t>тази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съставна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част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техническото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предложение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следва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да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бъдат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предложени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за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отстраняване</w:t>
      </w:r>
      <w:proofErr w:type="spellEnd"/>
      <w:r w:rsidRPr="00CB6180">
        <w:rPr>
          <w:rFonts w:eastAsia="Calibri"/>
          <w:b/>
          <w:i/>
          <w:color w:val="000000" w:themeColor="text1"/>
        </w:rPr>
        <w:t>.</w:t>
      </w:r>
    </w:p>
    <w:p w:rsidR="007E0338" w:rsidRPr="00CB6180" w:rsidRDefault="007E0338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right="23"/>
        <w:jc w:val="both"/>
        <w:rPr>
          <w:rFonts w:eastAsia="Calibri"/>
          <w:b/>
          <w:color w:val="000000" w:themeColor="text1"/>
          <w:lang w:val="bg-BG"/>
        </w:rPr>
      </w:pPr>
      <w:r w:rsidRPr="00CB6180">
        <w:rPr>
          <w:rFonts w:eastAsia="Calibri"/>
          <w:b/>
          <w:color w:val="000000" w:themeColor="text1"/>
        </w:rPr>
        <w:t xml:space="preserve">2. </w:t>
      </w:r>
      <w:proofErr w:type="spellStart"/>
      <w:r w:rsidRPr="00CB6180">
        <w:rPr>
          <w:rFonts w:eastAsia="Calibri"/>
          <w:b/>
          <w:color w:val="000000" w:themeColor="text1"/>
        </w:rPr>
        <w:t>Предложена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цена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изпълнение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предмета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поръчката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</w:p>
    <w:p w:rsidR="00181712" w:rsidRPr="00CB6180" w:rsidRDefault="00181712" w:rsidP="00181712">
      <w:pPr>
        <w:ind w:left="284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color w:val="000000" w:themeColor="text1"/>
        </w:rPr>
        <w:t>Оценката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всеки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формира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спазване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формула</w:t>
      </w:r>
      <w:proofErr w:type="spellEnd"/>
      <w:r w:rsidRPr="00CB6180">
        <w:rPr>
          <w:rFonts w:eastAsia="Calibri"/>
          <w:color w:val="000000" w:themeColor="text1"/>
        </w:rPr>
        <w:t>:</w:t>
      </w:r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</w:p>
    <w:p w:rsidR="00181712" w:rsidRPr="00CB6180" w:rsidRDefault="00181712" w:rsidP="00181712">
      <w:pPr>
        <w:ind w:left="3600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 </w:t>
      </w:r>
      <w:proofErr w:type="spellStart"/>
      <w:r w:rsidRPr="00CB6180">
        <w:rPr>
          <w:rFonts w:eastAsia="Calibri"/>
          <w:i/>
          <w:color w:val="000000" w:themeColor="text1"/>
        </w:rPr>
        <w:t>Минимална</w:t>
      </w:r>
      <w:proofErr w:type="spellEnd"/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>ЦП = ___</w:t>
      </w:r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предложена</w:t>
      </w:r>
      <w:proofErr w:type="spellEnd"/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цена</w:t>
      </w:r>
      <w:proofErr w:type="spellEnd"/>
      <w:r w:rsidRPr="00CB6180">
        <w:rPr>
          <w:rFonts w:eastAsia="Calibri"/>
          <w:i/>
          <w:color w:val="000000" w:themeColor="text1"/>
        </w:rPr>
        <w:t xml:space="preserve"> ____ х </w:t>
      </w:r>
      <w:r w:rsidRPr="00CB6180">
        <w:rPr>
          <w:rFonts w:eastAsia="Calibri"/>
          <w:i/>
          <w:color w:val="000000" w:themeColor="text1"/>
          <w:lang w:val="en-US"/>
        </w:rPr>
        <w:t>5</w:t>
      </w:r>
      <w:r w:rsidRPr="00CB6180">
        <w:rPr>
          <w:rFonts w:eastAsia="Calibri"/>
          <w:i/>
          <w:color w:val="000000" w:themeColor="text1"/>
        </w:rPr>
        <w:t>0</w:t>
      </w:r>
    </w:p>
    <w:p w:rsidR="00181712" w:rsidRPr="00CB6180" w:rsidRDefault="00181712" w:rsidP="00181712">
      <w:pPr>
        <w:ind w:left="2880" w:firstLine="381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</w:t>
      </w:r>
      <w:proofErr w:type="spellStart"/>
      <w:r w:rsidRPr="00CB6180">
        <w:rPr>
          <w:rFonts w:eastAsia="Calibri"/>
          <w:i/>
          <w:color w:val="000000" w:themeColor="text1"/>
        </w:rPr>
        <w:t>Предлагана</w:t>
      </w:r>
      <w:proofErr w:type="spellEnd"/>
      <w:r w:rsidRPr="00CB6180">
        <w:rPr>
          <w:rFonts w:eastAsia="Calibri"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</w:rPr>
        <w:t>от</w:t>
      </w:r>
      <w:proofErr w:type="spellEnd"/>
      <w:r w:rsidRPr="00CB6180">
        <w:rPr>
          <w:rFonts w:eastAsia="Calibri"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</w:rPr>
        <w:t>участника</w:t>
      </w:r>
      <w:proofErr w:type="spellEnd"/>
    </w:p>
    <w:p w:rsidR="00181712" w:rsidRPr="00CB6180" w:rsidRDefault="00181712" w:rsidP="00181712">
      <w:pPr>
        <w:ind w:left="3828" w:firstLine="283"/>
        <w:rPr>
          <w:rFonts w:eastAsia="Calibri"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</w:t>
      </w:r>
      <w:proofErr w:type="spellStart"/>
      <w:proofErr w:type="gramStart"/>
      <w:r w:rsidRPr="00CB6180">
        <w:rPr>
          <w:rFonts w:eastAsia="Calibri"/>
          <w:i/>
          <w:color w:val="000000" w:themeColor="text1"/>
        </w:rPr>
        <w:t>цена</w:t>
      </w:r>
      <w:proofErr w:type="spellEnd"/>
      <w:proofErr w:type="gramEnd"/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Минималната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е </w:t>
      </w:r>
      <w:proofErr w:type="spellStart"/>
      <w:r w:rsidRPr="00CB6180">
        <w:rPr>
          <w:rFonts w:eastAsia="Calibri"/>
          <w:color w:val="000000" w:themeColor="text1"/>
        </w:rPr>
        <w:t>общата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Ценовото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предложил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най</w:t>
      </w:r>
      <w:proofErr w:type="spellEnd"/>
      <w:r w:rsidRPr="00CB6180">
        <w:rPr>
          <w:rFonts w:eastAsia="Calibri"/>
          <w:color w:val="000000" w:themeColor="text1"/>
        </w:rPr>
        <w:t xml:space="preserve">- </w:t>
      </w:r>
      <w:proofErr w:type="spellStart"/>
      <w:r w:rsidRPr="00CB6180">
        <w:rPr>
          <w:rFonts w:eastAsia="Calibri"/>
          <w:color w:val="000000" w:themeColor="text1"/>
        </w:rPr>
        <w:t>ниска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Предлаганата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е </w:t>
      </w:r>
      <w:proofErr w:type="spellStart"/>
      <w:r w:rsidRPr="00CB6180">
        <w:rPr>
          <w:rFonts w:eastAsia="Calibri"/>
          <w:color w:val="000000" w:themeColor="text1"/>
        </w:rPr>
        <w:t>предложената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крайна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Ценовото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spacing w:before="120"/>
        <w:ind w:left="284"/>
        <w:jc w:val="both"/>
        <w:rPr>
          <w:rFonts w:eastAsia="Calibri"/>
          <w:color w:val="000000" w:themeColor="text1"/>
          <w:lang w:val="bg-BG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Всички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показателя</w:t>
      </w:r>
      <w:proofErr w:type="spellEnd"/>
      <w:r w:rsidRPr="00CB6180">
        <w:rPr>
          <w:rFonts w:eastAsia="Calibri"/>
          <w:color w:val="000000" w:themeColor="text1"/>
        </w:rPr>
        <w:t xml:space="preserve"> ЦП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бъдат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положителна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различни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“0” (</w:t>
      </w:r>
      <w:proofErr w:type="spellStart"/>
      <w:r w:rsidRPr="00CB6180">
        <w:rPr>
          <w:rFonts w:eastAsia="Calibri"/>
          <w:color w:val="000000" w:themeColor="text1"/>
        </w:rPr>
        <w:t>нула</w:t>
      </w:r>
      <w:proofErr w:type="spellEnd"/>
      <w:r w:rsidRPr="00CB6180">
        <w:rPr>
          <w:rFonts w:eastAsia="Calibri"/>
          <w:color w:val="000000" w:themeColor="text1"/>
        </w:rPr>
        <w:t>).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Участници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предложили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надвишаваща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определената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ще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бъдат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отстранени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участие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процедурата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</w:p>
    <w:p w:rsidR="00181712" w:rsidRPr="00CB6180" w:rsidRDefault="00181712" w:rsidP="00181712">
      <w:pPr>
        <w:pStyle w:val="Default"/>
        <w:ind w:right="26"/>
        <w:jc w:val="both"/>
        <w:rPr>
          <w:color w:val="000000" w:themeColor="text1"/>
          <w:lang w:val="bg-BG"/>
        </w:rPr>
      </w:pPr>
    </w:p>
    <w:p w:rsid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proofErr w:type="spellStart"/>
      <w:r w:rsidRPr="00CB6180">
        <w:rPr>
          <w:i/>
          <w:color w:val="000000" w:themeColor="text1"/>
          <w:u w:val="single"/>
        </w:rPr>
        <w:t>Уточнение</w:t>
      </w:r>
      <w:proofErr w:type="spellEnd"/>
      <w:r w:rsidRPr="00CB6180">
        <w:rPr>
          <w:i/>
          <w:color w:val="000000" w:themeColor="text1"/>
          <w:u w:val="single"/>
        </w:rPr>
        <w:t>:</w:t>
      </w:r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При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оценка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на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всеки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един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от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показателите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Комисията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изчислява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точките</w:t>
      </w:r>
      <w:proofErr w:type="spellEnd"/>
      <w:r w:rsidRPr="00CB6180">
        <w:rPr>
          <w:i/>
          <w:color w:val="000000" w:themeColor="text1"/>
        </w:rPr>
        <w:t xml:space="preserve"> с </w:t>
      </w:r>
      <w:proofErr w:type="spellStart"/>
      <w:r w:rsidRPr="00CB6180">
        <w:rPr>
          <w:i/>
          <w:color w:val="000000" w:themeColor="text1"/>
        </w:rPr>
        <w:t>точност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до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втория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знак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след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десетичната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запетая</w:t>
      </w:r>
      <w:proofErr w:type="spellEnd"/>
      <w:r w:rsidRPr="00CB6180">
        <w:rPr>
          <w:i/>
          <w:color w:val="000000" w:themeColor="text1"/>
        </w:rPr>
        <w:t>.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r w:rsidRPr="00CB6180">
        <w:rPr>
          <w:i/>
          <w:color w:val="000000" w:themeColor="text1"/>
        </w:rPr>
        <w:t xml:space="preserve"> 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b/>
          <w:bCs/>
          <w:i/>
          <w:iCs/>
          <w:color w:val="000000" w:themeColor="text1"/>
        </w:rPr>
      </w:pPr>
      <w:r w:rsidRPr="00CB6180">
        <w:rPr>
          <w:b/>
          <w:bCs/>
          <w:i/>
          <w:iCs/>
          <w:color w:val="000000" w:themeColor="text1"/>
        </w:rPr>
        <w:t xml:space="preserve">!!! В </w:t>
      </w:r>
      <w:proofErr w:type="spellStart"/>
      <w:r w:rsidRPr="00CB6180">
        <w:rPr>
          <w:b/>
          <w:bCs/>
          <w:i/>
          <w:iCs/>
          <w:color w:val="000000" w:themeColor="text1"/>
        </w:rPr>
        <w:t>случай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че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комплексните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оценки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две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или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повече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оферти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са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равни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, </w:t>
      </w:r>
      <w:proofErr w:type="spellStart"/>
      <w:r w:rsidRPr="00CB6180">
        <w:rPr>
          <w:b/>
          <w:bCs/>
          <w:i/>
          <w:iCs/>
          <w:color w:val="000000" w:themeColor="text1"/>
        </w:rPr>
        <w:t>за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определяне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изпълнител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между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класираните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първо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място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оферти</w:t>
      </w:r>
      <w:proofErr w:type="spellEnd"/>
      <w:r w:rsidRPr="00CB6180"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се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прилагат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разпоредбите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чл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. </w:t>
      </w:r>
      <w:proofErr w:type="gramStart"/>
      <w:r w:rsidRPr="00CB6180">
        <w:rPr>
          <w:b/>
          <w:bCs/>
          <w:i/>
          <w:iCs/>
          <w:color w:val="000000" w:themeColor="text1"/>
        </w:rPr>
        <w:t xml:space="preserve">58, </w:t>
      </w:r>
      <w:proofErr w:type="spellStart"/>
      <w:r w:rsidRPr="00CB6180">
        <w:rPr>
          <w:b/>
          <w:bCs/>
          <w:i/>
          <w:iCs/>
          <w:color w:val="000000" w:themeColor="text1"/>
        </w:rPr>
        <w:t>ал</w:t>
      </w:r>
      <w:proofErr w:type="spellEnd"/>
      <w:r w:rsidRPr="00CB6180">
        <w:rPr>
          <w:b/>
          <w:bCs/>
          <w:i/>
          <w:iCs/>
          <w:color w:val="000000" w:themeColor="text1"/>
        </w:rPr>
        <w:t>.</w:t>
      </w:r>
      <w:proofErr w:type="gram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CB6180">
        <w:rPr>
          <w:b/>
          <w:bCs/>
          <w:i/>
          <w:iCs/>
          <w:color w:val="000000" w:themeColor="text1"/>
        </w:rPr>
        <w:t xml:space="preserve">2 и 3 </w:t>
      </w:r>
      <w:proofErr w:type="spellStart"/>
      <w:r w:rsidRPr="00CB6180">
        <w:rPr>
          <w:b/>
          <w:bCs/>
          <w:i/>
          <w:iCs/>
          <w:color w:val="000000" w:themeColor="text1"/>
        </w:rPr>
        <w:t>от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ППЗОП.</w:t>
      </w:r>
      <w:proofErr w:type="gramEnd"/>
    </w:p>
    <w:p w:rsidR="00181712" w:rsidRPr="00CB6180" w:rsidRDefault="00181712" w:rsidP="00181712">
      <w:pPr>
        <w:tabs>
          <w:tab w:val="left" w:pos="426"/>
        </w:tabs>
        <w:spacing w:line="360" w:lineRule="auto"/>
        <w:ind w:right="26"/>
        <w:jc w:val="both"/>
        <w:rPr>
          <w:i/>
          <w:color w:val="000000" w:themeColor="text1"/>
        </w:rPr>
      </w:pPr>
    </w:p>
    <w:p w:rsidR="00CF752C" w:rsidRPr="00714A64" w:rsidRDefault="00CB6180" w:rsidP="00714A64">
      <w:pPr>
        <w:spacing w:after="60" w:line="276" w:lineRule="auto"/>
        <w:rPr>
          <w:lang w:val="en-US"/>
        </w:rPr>
      </w:pPr>
      <w:r>
        <w:rPr>
          <w:lang w:val="bg-BG"/>
        </w:rPr>
        <w:tab/>
      </w:r>
      <w:r>
        <w:rPr>
          <w:lang w:val="bg-BG"/>
        </w:rPr>
        <w:tab/>
      </w:r>
    </w:p>
    <w:sectPr w:rsidR="00CF752C" w:rsidRPr="00714A64" w:rsidSect="00813F20">
      <w:footerReference w:type="default" r:id="rId7"/>
      <w:pgSz w:w="11906" w:h="16838" w:code="9"/>
      <w:pgMar w:top="993" w:right="1106" w:bottom="851" w:left="126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F9" w:rsidRDefault="00A76BF9">
      <w:r>
        <w:separator/>
      </w:r>
    </w:p>
  </w:endnote>
  <w:endnote w:type="continuationSeparator" w:id="0">
    <w:p w:rsidR="00A76BF9" w:rsidRDefault="00A7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317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5F" w:rsidRDefault="00B423E4">
    <w:pPr>
      <w:pStyle w:val="Footer"/>
      <w:jc w:val="right"/>
    </w:pPr>
    <w:r>
      <w:fldChar w:fldCharType="begin"/>
    </w:r>
    <w:r w:rsidR="00591F04">
      <w:instrText xml:space="preserve"> PAGE   \* MERGEFORMAT </w:instrText>
    </w:r>
    <w:r>
      <w:fldChar w:fldCharType="separate"/>
    </w:r>
    <w:r w:rsidR="0001167B">
      <w:rPr>
        <w:noProof/>
      </w:rPr>
      <w:t>4</w:t>
    </w:r>
    <w:r>
      <w:rPr>
        <w:noProof/>
      </w:rPr>
      <w:fldChar w:fldCharType="end"/>
    </w:r>
  </w:p>
  <w:p w:rsidR="00E1365F" w:rsidRPr="00BE6035" w:rsidRDefault="00E1365F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F9" w:rsidRDefault="00A76BF9">
      <w:r>
        <w:separator/>
      </w:r>
    </w:p>
  </w:footnote>
  <w:footnote w:type="continuationSeparator" w:id="0">
    <w:p w:rsidR="00A76BF9" w:rsidRDefault="00A7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52"/>
    <w:multiLevelType w:val="hybridMultilevel"/>
    <w:tmpl w:val="11B0F28E"/>
    <w:lvl w:ilvl="0" w:tplc="837C9114">
      <w:start w:val="1"/>
      <w:numFmt w:val="decimal"/>
      <w:lvlText w:val="4.3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14B"/>
    <w:multiLevelType w:val="hybridMultilevel"/>
    <w:tmpl w:val="3428748C"/>
    <w:lvl w:ilvl="0" w:tplc="C3F29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53518"/>
    <w:multiLevelType w:val="hybridMultilevel"/>
    <w:tmpl w:val="FAA64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68C3"/>
    <w:multiLevelType w:val="hybridMultilevel"/>
    <w:tmpl w:val="ADC0214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8355F0"/>
    <w:multiLevelType w:val="hybridMultilevel"/>
    <w:tmpl w:val="67721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4348A"/>
    <w:multiLevelType w:val="hybridMultilevel"/>
    <w:tmpl w:val="FE92F02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E0EC4"/>
    <w:multiLevelType w:val="hybridMultilevel"/>
    <w:tmpl w:val="D64A86AA"/>
    <w:lvl w:ilvl="0" w:tplc="A06249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07E78">
      <w:numFmt w:val="none"/>
      <w:lvlText w:val=""/>
      <w:lvlJc w:val="left"/>
      <w:pPr>
        <w:tabs>
          <w:tab w:val="num" w:pos="360"/>
        </w:tabs>
      </w:pPr>
    </w:lvl>
    <w:lvl w:ilvl="2" w:tplc="33EE8C84">
      <w:numFmt w:val="none"/>
      <w:lvlText w:val=""/>
      <w:lvlJc w:val="left"/>
      <w:pPr>
        <w:tabs>
          <w:tab w:val="num" w:pos="360"/>
        </w:tabs>
      </w:pPr>
    </w:lvl>
    <w:lvl w:ilvl="3" w:tplc="423442E2">
      <w:numFmt w:val="none"/>
      <w:lvlText w:val=""/>
      <w:lvlJc w:val="left"/>
      <w:pPr>
        <w:tabs>
          <w:tab w:val="num" w:pos="360"/>
        </w:tabs>
      </w:pPr>
    </w:lvl>
    <w:lvl w:ilvl="4" w:tplc="34B8D442">
      <w:numFmt w:val="none"/>
      <w:lvlText w:val=""/>
      <w:lvlJc w:val="left"/>
      <w:pPr>
        <w:tabs>
          <w:tab w:val="num" w:pos="360"/>
        </w:tabs>
      </w:pPr>
    </w:lvl>
    <w:lvl w:ilvl="5" w:tplc="7048E46E">
      <w:numFmt w:val="none"/>
      <w:lvlText w:val=""/>
      <w:lvlJc w:val="left"/>
      <w:pPr>
        <w:tabs>
          <w:tab w:val="num" w:pos="360"/>
        </w:tabs>
      </w:pPr>
    </w:lvl>
    <w:lvl w:ilvl="6" w:tplc="0D942F7A">
      <w:numFmt w:val="none"/>
      <w:lvlText w:val=""/>
      <w:lvlJc w:val="left"/>
      <w:pPr>
        <w:tabs>
          <w:tab w:val="num" w:pos="360"/>
        </w:tabs>
      </w:pPr>
    </w:lvl>
    <w:lvl w:ilvl="7" w:tplc="E440E898">
      <w:numFmt w:val="none"/>
      <w:lvlText w:val=""/>
      <w:lvlJc w:val="left"/>
      <w:pPr>
        <w:tabs>
          <w:tab w:val="num" w:pos="360"/>
        </w:tabs>
      </w:pPr>
    </w:lvl>
    <w:lvl w:ilvl="8" w:tplc="9C38BD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A536B1"/>
    <w:multiLevelType w:val="hybridMultilevel"/>
    <w:tmpl w:val="EA6E05BC"/>
    <w:lvl w:ilvl="0" w:tplc="D5C69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5573C"/>
    <w:multiLevelType w:val="hybridMultilevel"/>
    <w:tmpl w:val="A7B2D4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704ACE"/>
    <w:multiLevelType w:val="hybridMultilevel"/>
    <w:tmpl w:val="1F8EFE9E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24712"/>
    <w:multiLevelType w:val="hybridMultilevel"/>
    <w:tmpl w:val="9D7418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3B7128"/>
    <w:multiLevelType w:val="hybridMultilevel"/>
    <w:tmpl w:val="3F8C6A7E"/>
    <w:lvl w:ilvl="0" w:tplc="8758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05B30"/>
    <w:multiLevelType w:val="hybridMultilevel"/>
    <w:tmpl w:val="276E1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F0E4B"/>
    <w:multiLevelType w:val="hybridMultilevel"/>
    <w:tmpl w:val="A6825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6BBE"/>
    <w:multiLevelType w:val="hybridMultilevel"/>
    <w:tmpl w:val="586221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23EEA"/>
    <w:multiLevelType w:val="hybridMultilevel"/>
    <w:tmpl w:val="2AF08C46"/>
    <w:lvl w:ilvl="0" w:tplc="0308AB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A31D4">
      <w:numFmt w:val="none"/>
      <w:lvlText w:val=""/>
      <w:lvlJc w:val="left"/>
      <w:pPr>
        <w:tabs>
          <w:tab w:val="num" w:pos="360"/>
        </w:tabs>
      </w:pPr>
    </w:lvl>
    <w:lvl w:ilvl="2" w:tplc="EB907910">
      <w:numFmt w:val="none"/>
      <w:lvlText w:val=""/>
      <w:lvlJc w:val="left"/>
      <w:pPr>
        <w:tabs>
          <w:tab w:val="num" w:pos="360"/>
        </w:tabs>
      </w:pPr>
    </w:lvl>
    <w:lvl w:ilvl="3" w:tplc="B5C27400">
      <w:numFmt w:val="none"/>
      <w:lvlText w:val=""/>
      <w:lvlJc w:val="left"/>
      <w:pPr>
        <w:tabs>
          <w:tab w:val="num" w:pos="360"/>
        </w:tabs>
      </w:pPr>
    </w:lvl>
    <w:lvl w:ilvl="4" w:tplc="C768785E">
      <w:numFmt w:val="none"/>
      <w:lvlText w:val=""/>
      <w:lvlJc w:val="left"/>
      <w:pPr>
        <w:tabs>
          <w:tab w:val="num" w:pos="360"/>
        </w:tabs>
      </w:pPr>
    </w:lvl>
    <w:lvl w:ilvl="5" w:tplc="1F462B80">
      <w:numFmt w:val="none"/>
      <w:lvlText w:val=""/>
      <w:lvlJc w:val="left"/>
      <w:pPr>
        <w:tabs>
          <w:tab w:val="num" w:pos="360"/>
        </w:tabs>
      </w:pPr>
    </w:lvl>
    <w:lvl w:ilvl="6" w:tplc="525C0098">
      <w:numFmt w:val="none"/>
      <w:lvlText w:val=""/>
      <w:lvlJc w:val="left"/>
      <w:pPr>
        <w:tabs>
          <w:tab w:val="num" w:pos="360"/>
        </w:tabs>
      </w:pPr>
    </w:lvl>
    <w:lvl w:ilvl="7" w:tplc="3FB2E890">
      <w:numFmt w:val="none"/>
      <w:lvlText w:val=""/>
      <w:lvlJc w:val="left"/>
      <w:pPr>
        <w:tabs>
          <w:tab w:val="num" w:pos="360"/>
        </w:tabs>
      </w:pPr>
    </w:lvl>
    <w:lvl w:ilvl="8" w:tplc="9A7E3BB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1D3A88"/>
    <w:multiLevelType w:val="hybridMultilevel"/>
    <w:tmpl w:val="CCE63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64FF3"/>
    <w:multiLevelType w:val="multilevel"/>
    <w:tmpl w:val="C262E55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6D3330"/>
    <w:multiLevelType w:val="hybridMultilevel"/>
    <w:tmpl w:val="2F88B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51276"/>
    <w:multiLevelType w:val="multilevel"/>
    <w:tmpl w:val="FF24B8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B0902"/>
    <w:multiLevelType w:val="hybridMultilevel"/>
    <w:tmpl w:val="A1D26F8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17380"/>
    <w:multiLevelType w:val="hybridMultilevel"/>
    <w:tmpl w:val="D52A3C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490EBA"/>
    <w:multiLevelType w:val="hybridMultilevel"/>
    <w:tmpl w:val="68E47E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227DE"/>
    <w:multiLevelType w:val="hybridMultilevel"/>
    <w:tmpl w:val="62AE3302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7607C3"/>
    <w:multiLevelType w:val="hybridMultilevel"/>
    <w:tmpl w:val="C6AC2D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197E"/>
    <w:multiLevelType w:val="hybridMultilevel"/>
    <w:tmpl w:val="BA40D4DA"/>
    <w:lvl w:ilvl="0" w:tplc="9C004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623E0"/>
    <w:multiLevelType w:val="hybridMultilevel"/>
    <w:tmpl w:val="78F48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37429"/>
    <w:multiLevelType w:val="hybridMultilevel"/>
    <w:tmpl w:val="2918E836"/>
    <w:lvl w:ilvl="0" w:tplc="DE889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1E37"/>
    <w:multiLevelType w:val="hybridMultilevel"/>
    <w:tmpl w:val="7992354A"/>
    <w:lvl w:ilvl="0" w:tplc="EA266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80698">
      <w:numFmt w:val="none"/>
      <w:lvlText w:val=""/>
      <w:lvlJc w:val="left"/>
      <w:pPr>
        <w:tabs>
          <w:tab w:val="num" w:pos="360"/>
        </w:tabs>
      </w:pPr>
    </w:lvl>
    <w:lvl w:ilvl="2" w:tplc="37E80E12">
      <w:numFmt w:val="none"/>
      <w:lvlText w:val=""/>
      <w:lvlJc w:val="left"/>
      <w:pPr>
        <w:tabs>
          <w:tab w:val="num" w:pos="360"/>
        </w:tabs>
      </w:pPr>
    </w:lvl>
    <w:lvl w:ilvl="3" w:tplc="236404BA">
      <w:numFmt w:val="none"/>
      <w:lvlText w:val=""/>
      <w:lvlJc w:val="left"/>
      <w:pPr>
        <w:tabs>
          <w:tab w:val="num" w:pos="360"/>
        </w:tabs>
      </w:pPr>
    </w:lvl>
    <w:lvl w:ilvl="4" w:tplc="A00EBA7E">
      <w:numFmt w:val="none"/>
      <w:lvlText w:val=""/>
      <w:lvlJc w:val="left"/>
      <w:pPr>
        <w:tabs>
          <w:tab w:val="num" w:pos="360"/>
        </w:tabs>
      </w:pPr>
    </w:lvl>
    <w:lvl w:ilvl="5" w:tplc="FBBE3D6C">
      <w:numFmt w:val="none"/>
      <w:lvlText w:val=""/>
      <w:lvlJc w:val="left"/>
      <w:pPr>
        <w:tabs>
          <w:tab w:val="num" w:pos="360"/>
        </w:tabs>
      </w:pPr>
    </w:lvl>
    <w:lvl w:ilvl="6" w:tplc="A2985170">
      <w:numFmt w:val="none"/>
      <w:lvlText w:val=""/>
      <w:lvlJc w:val="left"/>
      <w:pPr>
        <w:tabs>
          <w:tab w:val="num" w:pos="360"/>
        </w:tabs>
      </w:pPr>
    </w:lvl>
    <w:lvl w:ilvl="7" w:tplc="8766B6F2">
      <w:numFmt w:val="none"/>
      <w:lvlText w:val=""/>
      <w:lvlJc w:val="left"/>
      <w:pPr>
        <w:tabs>
          <w:tab w:val="num" w:pos="360"/>
        </w:tabs>
      </w:pPr>
    </w:lvl>
    <w:lvl w:ilvl="8" w:tplc="197E754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563559"/>
    <w:multiLevelType w:val="hybridMultilevel"/>
    <w:tmpl w:val="86D0463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716B16"/>
    <w:multiLevelType w:val="hybridMultilevel"/>
    <w:tmpl w:val="6DD275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70A86"/>
    <w:multiLevelType w:val="hybridMultilevel"/>
    <w:tmpl w:val="D7F0B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5E90"/>
    <w:multiLevelType w:val="hybridMultilevel"/>
    <w:tmpl w:val="E1B47440"/>
    <w:lvl w:ilvl="0" w:tplc="FFFFFFFF">
      <w:start w:val="9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31F24D3"/>
    <w:multiLevelType w:val="hybridMultilevel"/>
    <w:tmpl w:val="404AD2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3CD"/>
    <w:multiLevelType w:val="multilevel"/>
    <w:tmpl w:val="03AC3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66767993"/>
    <w:multiLevelType w:val="hybridMultilevel"/>
    <w:tmpl w:val="2BB4FE3E"/>
    <w:lvl w:ilvl="0" w:tplc="5164C2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61376"/>
    <w:multiLevelType w:val="hybridMultilevel"/>
    <w:tmpl w:val="E7264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DD0359"/>
    <w:multiLevelType w:val="hybridMultilevel"/>
    <w:tmpl w:val="90D85952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4493F"/>
    <w:multiLevelType w:val="hybridMultilevel"/>
    <w:tmpl w:val="6CD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5250C"/>
    <w:multiLevelType w:val="hybridMultilevel"/>
    <w:tmpl w:val="0DB409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9F2AAE"/>
    <w:multiLevelType w:val="hybridMultilevel"/>
    <w:tmpl w:val="F3F8F7CA"/>
    <w:lvl w:ilvl="0" w:tplc="8C9CC3EE">
      <w:start w:val="1"/>
      <w:numFmt w:val="decimal"/>
      <w:lvlText w:val="4.5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15"/>
  </w:num>
  <w:num w:numId="5">
    <w:abstractNumId w:val="37"/>
  </w:num>
  <w:num w:numId="6">
    <w:abstractNumId w:val="9"/>
  </w:num>
  <w:num w:numId="7">
    <w:abstractNumId w:val="32"/>
  </w:num>
  <w:num w:numId="8">
    <w:abstractNumId w:val="6"/>
  </w:num>
  <w:num w:numId="9">
    <w:abstractNumId w:val="5"/>
  </w:num>
  <w:num w:numId="10">
    <w:abstractNumId w:val="19"/>
  </w:num>
  <w:num w:numId="11">
    <w:abstractNumId w:val="34"/>
  </w:num>
  <w:num w:numId="12">
    <w:abstractNumId w:val="36"/>
  </w:num>
  <w:num w:numId="13">
    <w:abstractNumId w:val="30"/>
  </w:num>
  <w:num w:numId="14">
    <w:abstractNumId w:val="4"/>
  </w:num>
  <w:num w:numId="15">
    <w:abstractNumId w:val="26"/>
  </w:num>
  <w:num w:numId="16">
    <w:abstractNumId w:val="18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25"/>
  </w:num>
  <w:num w:numId="24">
    <w:abstractNumId w:val="41"/>
  </w:num>
  <w:num w:numId="25">
    <w:abstractNumId w:val="38"/>
  </w:num>
  <w:num w:numId="26">
    <w:abstractNumId w:val="39"/>
  </w:num>
  <w:num w:numId="27">
    <w:abstractNumId w:val="24"/>
  </w:num>
  <w:num w:numId="28">
    <w:abstractNumId w:val="27"/>
  </w:num>
  <w:num w:numId="29">
    <w:abstractNumId w:val="12"/>
  </w:num>
  <w:num w:numId="30">
    <w:abstractNumId w:val="35"/>
  </w:num>
  <w:num w:numId="31">
    <w:abstractNumId w:val="13"/>
  </w:num>
  <w:num w:numId="32">
    <w:abstractNumId w:val="0"/>
  </w:num>
  <w:num w:numId="33">
    <w:abstractNumId w:val="3"/>
  </w:num>
  <w:num w:numId="34">
    <w:abstractNumId w:val="40"/>
  </w:num>
  <w:num w:numId="35">
    <w:abstractNumId w:val="8"/>
  </w:num>
  <w:num w:numId="36">
    <w:abstractNumId w:val="33"/>
  </w:num>
  <w:num w:numId="37">
    <w:abstractNumId w:val="21"/>
  </w:num>
  <w:num w:numId="38">
    <w:abstractNumId w:val="23"/>
  </w:num>
  <w:num w:numId="39">
    <w:abstractNumId w:val="10"/>
  </w:num>
  <w:num w:numId="40">
    <w:abstractNumId w:val="22"/>
  </w:num>
  <w:num w:numId="41">
    <w:abstractNumId w:val="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E8"/>
    <w:rsid w:val="000043F8"/>
    <w:rsid w:val="0001167B"/>
    <w:rsid w:val="00023D5D"/>
    <w:rsid w:val="000301B3"/>
    <w:rsid w:val="00033BAD"/>
    <w:rsid w:val="00033E6D"/>
    <w:rsid w:val="00052FAA"/>
    <w:rsid w:val="00064629"/>
    <w:rsid w:val="00067CA6"/>
    <w:rsid w:val="0007095A"/>
    <w:rsid w:val="00074312"/>
    <w:rsid w:val="000A06A5"/>
    <w:rsid w:val="000A5A4E"/>
    <w:rsid w:val="000B1A52"/>
    <w:rsid w:val="000C30BD"/>
    <w:rsid w:val="000D24E1"/>
    <w:rsid w:val="000D6E11"/>
    <w:rsid w:val="000E2D89"/>
    <w:rsid w:val="000E42BF"/>
    <w:rsid w:val="000F25C6"/>
    <w:rsid w:val="00112A97"/>
    <w:rsid w:val="0011754C"/>
    <w:rsid w:val="00120A4A"/>
    <w:rsid w:val="00130980"/>
    <w:rsid w:val="0013248D"/>
    <w:rsid w:val="00134A94"/>
    <w:rsid w:val="001357EB"/>
    <w:rsid w:val="00142249"/>
    <w:rsid w:val="001467F8"/>
    <w:rsid w:val="00154B53"/>
    <w:rsid w:val="0016215E"/>
    <w:rsid w:val="00163CC4"/>
    <w:rsid w:val="0017417F"/>
    <w:rsid w:val="0017785A"/>
    <w:rsid w:val="00181712"/>
    <w:rsid w:val="001C6E8D"/>
    <w:rsid w:val="001F490A"/>
    <w:rsid w:val="001F6AD1"/>
    <w:rsid w:val="001F7F45"/>
    <w:rsid w:val="0020572C"/>
    <w:rsid w:val="00232CAC"/>
    <w:rsid w:val="0023702D"/>
    <w:rsid w:val="002373B8"/>
    <w:rsid w:val="00251668"/>
    <w:rsid w:val="002524E6"/>
    <w:rsid w:val="00252EE5"/>
    <w:rsid w:val="00255A6E"/>
    <w:rsid w:val="002577CD"/>
    <w:rsid w:val="00257802"/>
    <w:rsid w:val="00273C8C"/>
    <w:rsid w:val="002B612A"/>
    <w:rsid w:val="002C4D3A"/>
    <w:rsid w:val="002D4C07"/>
    <w:rsid w:val="002E6380"/>
    <w:rsid w:val="002F6F20"/>
    <w:rsid w:val="00301A71"/>
    <w:rsid w:val="0032685B"/>
    <w:rsid w:val="0032686A"/>
    <w:rsid w:val="003312A5"/>
    <w:rsid w:val="00342E30"/>
    <w:rsid w:val="00343509"/>
    <w:rsid w:val="00347F2A"/>
    <w:rsid w:val="00353157"/>
    <w:rsid w:val="00355669"/>
    <w:rsid w:val="00355BEE"/>
    <w:rsid w:val="00360195"/>
    <w:rsid w:val="003619B9"/>
    <w:rsid w:val="003710DF"/>
    <w:rsid w:val="00372C36"/>
    <w:rsid w:val="003742CA"/>
    <w:rsid w:val="00383D4D"/>
    <w:rsid w:val="00385ED7"/>
    <w:rsid w:val="003C6FF3"/>
    <w:rsid w:val="003D42B9"/>
    <w:rsid w:val="003E0969"/>
    <w:rsid w:val="003E0C93"/>
    <w:rsid w:val="003F3B85"/>
    <w:rsid w:val="0040617B"/>
    <w:rsid w:val="004217D0"/>
    <w:rsid w:val="004322D3"/>
    <w:rsid w:val="00434653"/>
    <w:rsid w:val="00436AE2"/>
    <w:rsid w:val="00445CC1"/>
    <w:rsid w:val="00451A95"/>
    <w:rsid w:val="00461EB8"/>
    <w:rsid w:val="00484EF7"/>
    <w:rsid w:val="00486BB5"/>
    <w:rsid w:val="0049061B"/>
    <w:rsid w:val="00493BDD"/>
    <w:rsid w:val="004940C1"/>
    <w:rsid w:val="004A35EF"/>
    <w:rsid w:val="004B116A"/>
    <w:rsid w:val="004B132D"/>
    <w:rsid w:val="004C1C43"/>
    <w:rsid w:val="004E1ACF"/>
    <w:rsid w:val="004F1933"/>
    <w:rsid w:val="005023B7"/>
    <w:rsid w:val="005038FA"/>
    <w:rsid w:val="005075A8"/>
    <w:rsid w:val="00514266"/>
    <w:rsid w:val="00515E19"/>
    <w:rsid w:val="005172E0"/>
    <w:rsid w:val="00517F65"/>
    <w:rsid w:val="00545073"/>
    <w:rsid w:val="00561E01"/>
    <w:rsid w:val="005778B7"/>
    <w:rsid w:val="00590776"/>
    <w:rsid w:val="00590790"/>
    <w:rsid w:val="00591F04"/>
    <w:rsid w:val="00593E18"/>
    <w:rsid w:val="005A0211"/>
    <w:rsid w:val="005A56ED"/>
    <w:rsid w:val="005B2A99"/>
    <w:rsid w:val="005C568A"/>
    <w:rsid w:val="005D5B3C"/>
    <w:rsid w:val="005D6CDB"/>
    <w:rsid w:val="005D7172"/>
    <w:rsid w:val="00613354"/>
    <w:rsid w:val="006162FF"/>
    <w:rsid w:val="006255EA"/>
    <w:rsid w:val="00626C28"/>
    <w:rsid w:val="006557F5"/>
    <w:rsid w:val="006578E9"/>
    <w:rsid w:val="00663BF6"/>
    <w:rsid w:val="00666AAA"/>
    <w:rsid w:val="00686D21"/>
    <w:rsid w:val="00696555"/>
    <w:rsid w:val="006A4AFA"/>
    <w:rsid w:val="006B636E"/>
    <w:rsid w:val="006C7ECC"/>
    <w:rsid w:val="006D311A"/>
    <w:rsid w:val="006D68E1"/>
    <w:rsid w:val="006E3462"/>
    <w:rsid w:val="006F0FE4"/>
    <w:rsid w:val="00714A64"/>
    <w:rsid w:val="00720C61"/>
    <w:rsid w:val="00730039"/>
    <w:rsid w:val="00730970"/>
    <w:rsid w:val="0075490B"/>
    <w:rsid w:val="0076415C"/>
    <w:rsid w:val="0077073E"/>
    <w:rsid w:val="0078065E"/>
    <w:rsid w:val="007835C1"/>
    <w:rsid w:val="00783EF8"/>
    <w:rsid w:val="00784DD1"/>
    <w:rsid w:val="007975B1"/>
    <w:rsid w:val="007B74F4"/>
    <w:rsid w:val="007E00E0"/>
    <w:rsid w:val="007E0338"/>
    <w:rsid w:val="007E3146"/>
    <w:rsid w:val="007F2288"/>
    <w:rsid w:val="007F38EC"/>
    <w:rsid w:val="00800705"/>
    <w:rsid w:val="00802261"/>
    <w:rsid w:val="00813F20"/>
    <w:rsid w:val="0081527F"/>
    <w:rsid w:val="00851B9C"/>
    <w:rsid w:val="00855B48"/>
    <w:rsid w:val="00864F25"/>
    <w:rsid w:val="00865822"/>
    <w:rsid w:val="008724AB"/>
    <w:rsid w:val="008866E4"/>
    <w:rsid w:val="00893AFB"/>
    <w:rsid w:val="008A3852"/>
    <w:rsid w:val="008B220B"/>
    <w:rsid w:val="008C6D5F"/>
    <w:rsid w:val="008E5C82"/>
    <w:rsid w:val="008E7282"/>
    <w:rsid w:val="00901002"/>
    <w:rsid w:val="009033AA"/>
    <w:rsid w:val="00915EA2"/>
    <w:rsid w:val="00917A28"/>
    <w:rsid w:val="00930C69"/>
    <w:rsid w:val="00931AE4"/>
    <w:rsid w:val="00950868"/>
    <w:rsid w:val="00954E52"/>
    <w:rsid w:val="009779D6"/>
    <w:rsid w:val="009963C9"/>
    <w:rsid w:val="009B1042"/>
    <w:rsid w:val="009C1CF7"/>
    <w:rsid w:val="009C7973"/>
    <w:rsid w:val="009C7CD3"/>
    <w:rsid w:val="009D1EC1"/>
    <w:rsid w:val="009F3B2A"/>
    <w:rsid w:val="00A17898"/>
    <w:rsid w:val="00A206AD"/>
    <w:rsid w:val="00A22699"/>
    <w:rsid w:val="00A32E2C"/>
    <w:rsid w:val="00A33A83"/>
    <w:rsid w:val="00A33EC9"/>
    <w:rsid w:val="00A52D1F"/>
    <w:rsid w:val="00A66AEB"/>
    <w:rsid w:val="00A75EF0"/>
    <w:rsid w:val="00A76BF9"/>
    <w:rsid w:val="00A87383"/>
    <w:rsid w:val="00A91B6F"/>
    <w:rsid w:val="00A96508"/>
    <w:rsid w:val="00AA77AC"/>
    <w:rsid w:val="00AC3C63"/>
    <w:rsid w:val="00AD06FD"/>
    <w:rsid w:val="00AF4D89"/>
    <w:rsid w:val="00B0062D"/>
    <w:rsid w:val="00B0622D"/>
    <w:rsid w:val="00B266CF"/>
    <w:rsid w:val="00B31041"/>
    <w:rsid w:val="00B368B1"/>
    <w:rsid w:val="00B423E4"/>
    <w:rsid w:val="00B44513"/>
    <w:rsid w:val="00B71458"/>
    <w:rsid w:val="00B7477F"/>
    <w:rsid w:val="00B81964"/>
    <w:rsid w:val="00B839A9"/>
    <w:rsid w:val="00B94DD4"/>
    <w:rsid w:val="00BA0DD9"/>
    <w:rsid w:val="00BB18CF"/>
    <w:rsid w:val="00BB2C6D"/>
    <w:rsid w:val="00BD2A09"/>
    <w:rsid w:val="00BD41B7"/>
    <w:rsid w:val="00BD6603"/>
    <w:rsid w:val="00BD6FF2"/>
    <w:rsid w:val="00BE4840"/>
    <w:rsid w:val="00BE6035"/>
    <w:rsid w:val="00C072D3"/>
    <w:rsid w:val="00C35435"/>
    <w:rsid w:val="00C424DD"/>
    <w:rsid w:val="00C60653"/>
    <w:rsid w:val="00C607B2"/>
    <w:rsid w:val="00C63F0A"/>
    <w:rsid w:val="00C6405E"/>
    <w:rsid w:val="00C65A52"/>
    <w:rsid w:val="00C83F5D"/>
    <w:rsid w:val="00CA16D4"/>
    <w:rsid w:val="00CA2609"/>
    <w:rsid w:val="00CB48CC"/>
    <w:rsid w:val="00CB6180"/>
    <w:rsid w:val="00CD38EC"/>
    <w:rsid w:val="00CD5741"/>
    <w:rsid w:val="00CF502F"/>
    <w:rsid w:val="00CF752C"/>
    <w:rsid w:val="00D01399"/>
    <w:rsid w:val="00D12B52"/>
    <w:rsid w:val="00D21029"/>
    <w:rsid w:val="00D244F8"/>
    <w:rsid w:val="00D30E11"/>
    <w:rsid w:val="00D30FD8"/>
    <w:rsid w:val="00D35CA6"/>
    <w:rsid w:val="00D432E8"/>
    <w:rsid w:val="00D54A1A"/>
    <w:rsid w:val="00D96C9A"/>
    <w:rsid w:val="00DA37EC"/>
    <w:rsid w:val="00DA475B"/>
    <w:rsid w:val="00DC08F2"/>
    <w:rsid w:val="00DC1793"/>
    <w:rsid w:val="00DC4E42"/>
    <w:rsid w:val="00DD1E73"/>
    <w:rsid w:val="00DD3720"/>
    <w:rsid w:val="00DE77F0"/>
    <w:rsid w:val="00DF31D7"/>
    <w:rsid w:val="00DF3849"/>
    <w:rsid w:val="00DF4178"/>
    <w:rsid w:val="00DF7E9A"/>
    <w:rsid w:val="00E10FA3"/>
    <w:rsid w:val="00E1365F"/>
    <w:rsid w:val="00E16E30"/>
    <w:rsid w:val="00E50DA2"/>
    <w:rsid w:val="00E65EF3"/>
    <w:rsid w:val="00E70F78"/>
    <w:rsid w:val="00E7770A"/>
    <w:rsid w:val="00E82E48"/>
    <w:rsid w:val="00E90F6B"/>
    <w:rsid w:val="00E95372"/>
    <w:rsid w:val="00E9607E"/>
    <w:rsid w:val="00E9657D"/>
    <w:rsid w:val="00EA2A40"/>
    <w:rsid w:val="00EA753A"/>
    <w:rsid w:val="00ED339A"/>
    <w:rsid w:val="00ED35FE"/>
    <w:rsid w:val="00ED6F05"/>
    <w:rsid w:val="00EE23EB"/>
    <w:rsid w:val="00EF0CC4"/>
    <w:rsid w:val="00F030AD"/>
    <w:rsid w:val="00F077E6"/>
    <w:rsid w:val="00F158FE"/>
    <w:rsid w:val="00F22564"/>
    <w:rsid w:val="00F30F71"/>
    <w:rsid w:val="00F36E62"/>
    <w:rsid w:val="00F4097B"/>
    <w:rsid w:val="00F445A4"/>
    <w:rsid w:val="00F5121E"/>
    <w:rsid w:val="00F54BF5"/>
    <w:rsid w:val="00F63D5F"/>
    <w:rsid w:val="00F66DE8"/>
    <w:rsid w:val="00F670B0"/>
    <w:rsid w:val="00F77233"/>
    <w:rsid w:val="00F8173F"/>
    <w:rsid w:val="00F85EED"/>
    <w:rsid w:val="00F86227"/>
    <w:rsid w:val="00FA59FF"/>
    <w:rsid w:val="00FB0BC6"/>
    <w:rsid w:val="00FB371D"/>
    <w:rsid w:val="00FC31DD"/>
    <w:rsid w:val="00FC3BDB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SELSKI_RAIONI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DD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Heading2">
    <w:name w:val="heading 2"/>
    <w:basedOn w:val="Normal"/>
    <w:next w:val="Normal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Heading3">
    <w:name w:val="heading 3"/>
    <w:basedOn w:val="Normal"/>
    <w:next w:val="Normal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Heading4">
    <w:name w:val="heading 4"/>
    <w:basedOn w:val="Normal"/>
    <w:next w:val="Normal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Heading6">
    <w:name w:val="heading 6"/>
    <w:basedOn w:val="Normal"/>
    <w:next w:val="Normal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Heading7">
    <w:name w:val="heading 7"/>
    <w:basedOn w:val="Normal"/>
    <w:next w:val="Normal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BA0DD9"/>
    <w:pPr>
      <w:jc w:val="center"/>
    </w:pPr>
  </w:style>
  <w:style w:type="paragraph" w:styleId="BodyTextIndent">
    <w:name w:val="Body Text Indent"/>
    <w:basedOn w:val="Normal"/>
    <w:rsid w:val="00BA0DD9"/>
    <w:pPr>
      <w:ind w:left="360"/>
      <w:jc w:val="center"/>
    </w:pPr>
  </w:style>
  <w:style w:type="paragraph" w:styleId="Header">
    <w:name w:val="header"/>
    <w:basedOn w:val="Normal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0D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0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301B3"/>
  </w:style>
  <w:style w:type="paragraph" w:styleId="BalloonText">
    <w:name w:val="Balloon Text"/>
    <w:basedOn w:val="Normal"/>
    <w:semiHidden/>
    <w:rsid w:val="00DC08F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Normal"/>
    <w:rsid w:val="00CF752C"/>
    <w:pPr>
      <w:spacing w:before="100" w:beforeAutospacing="1" w:after="100" w:afterAutospacing="1"/>
    </w:pPr>
    <w:rPr>
      <w:lang w:val="bg-BG" w:eastAsia="bg-BG"/>
    </w:rPr>
  </w:style>
  <w:style w:type="character" w:styleId="CommentReference">
    <w:name w:val="annotation reference"/>
    <w:basedOn w:val="DefaultParagraphFont"/>
    <w:rsid w:val="00B0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22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622D"/>
    <w:rPr>
      <w:b/>
      <w:bCs/>
      <w:lang w:val="en-GB" w:eastAsia="en-US"/>
    </w:rPr>
  </w:style>
  <w:style w:type="paragraph" w:styleId="ListParagraph">
    <w:name w:val="List Paragraph"/>
    <w:aliases w:val="ПАРАГРАФ,Списък на абзаци"/>
    <w:basedOn w:val="Normal"/>
    <w:link w:val="ListParagraphChar"/>
    <w:qFormat/>
    <w:rsid w:val="001F7F4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ListParagraphChar">
    <w:name w:val="List Paragraph Char"/>
    <w:aliases w:val="ПАРАГРАФ Char,Списък на абзаци Char"/>
    <w:link w:val="ListParagraph"/>
    <w:locked/>
    <w:rsid w:val="001F7F45"/>
    <w:rPr>
      <w:lang w:val="en-AU"/>
    </w:rPr>
  </w:style>
  <w:style w:type="paragraph" w:styleId="List3">
    <w:name w:val="List 3"/>
    <w:basedOn w:val="Normal"/>
    <w:rsid w:val="0007095A"/>
    <w:pPr>
      <w:ind w:left="1080" w:hanging="360"/>
    </w:pPr>
    <w:rPr>
      <w:lang w:val="bg-BG" w:eastAsia="bg-BG"/>
    </w:rPr>
  </w:style>
  <w:style w:type="paragraph" w:customStyle="1" w:styleId="02">
    <w:name w:val="02 ДИ"/>
    <w:basedOn w:val="Normal"/>
    <w:link w:val="02CharChar"/>
    <w:rsid w:val="00F077E6"/>
    <w:pPr>
      <w:spacing w:before="240" w:after="120"/>
    </w:pPr>
    <w:rPr>
      <w:b/>
      <w:lang w:val="bg-BG" w:eastAsia="bg-BG"/>
    </w:rPr>
  </w:style>
  <w:style w:type="character" w:customStyle="1" w:styleId="02CharChar">
    <w:name w:val="02 ДИ Char Char"/>
    <w:link w:val="02"/>
    <w:rsid w:val="00F077E6"/>
    <w:rPr>
      <w:b/>
      <w:sz w:val="24"/>
      <w:szCs w:val="24"/>
    </w:rPr>
  </w:style>
  <w:style w:type="character" w:customStyle="1" w:styleId="FontStyle44">
    <w:name w:val="Font Style44"/>
    <w:rsid w:val="00F077E6"/>
    <w:rPr>
      <w:rFonts w:ascii="Times New Roman" w:hAnsi="Times New Roman" w:cs="Times New Roman"/>
      <w:sz w:val="20"/>
      <w:szCs w:val="20"/>
    </w:rPr>
  </w:style>
  <w:style w:type="character" w:customStyle="1" w:styleId="yiv0525515136">
    <w:name w:val="yiv0525515136"/>
    <w:basedOn w:val="DefaultParagraphFont"/>
    <w:rsid w:val="008C6D5F"/>
  </w:style>
  <w:style w:type="paragraph" w:customStyle="1" w:styleId="CharChar">
    <w:name w:val="Char Char Знак Знак"/>
    <w:basedOn w:val="Normal"/>
    <w:rsid w:val="00930C6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A17898"/>
  </w:style>
  <w:style w:type="paragraph" w:customStyle="1" w:styleId="Default">
    <w:name w:val="Default"/>
    <w:rsid w:val="0059079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49061B"/>
    <w:pPr>
      <w:ind w:left="480"/>
    </w:pPr>
    <w:rPr>
      <w:i/>
      <w:iCs/>
      <w:sz w:val="20"/>
      <w:szCs w:val="20"/>
      <w:lang w:val="bg-BG" w:eastAsia="bg-BG"/>
    </w:rPr>
  </w:style>
  <w:style w:type="character" w:styleId="Hyperlink">
    <w:name w:val="Hyperlink"/>
    <w:uiPriority w:val="99"/>
    <w:unhideWhenUsed/>
    <w:rsid w:val="00134A94"/>
    <w:rPr>
      <w:color w:val="0000FF"/>
      <w:u w:val="single"/>
    </w:rPr>
  </w:style>
  <w:style w:type="paragraph" w:customStyle="1" w:styleId="2">
    <w:name w:val="Основен текст (2)"/>
    <w:basedOn w:val="Normal"/>
    <w:rsid w:val="00347F2A"/>
    <w:pPr>
      <w:shd w:val="clear" w:color="auto" w:fill="FFFFFF"/>
      <w:suppressAutoHyphens/>
      <w:spacing w:line="0" w:lineRule="atLeast"/>
    </w:pPr>
    <w:rPr>
      <w:rFonts w:ascii="Arial Narrow" w:eastAsia="Arial Narrow" w:hAnsi="Arial Narrow" w:cs="font317"/>
      <w:sz w:val="19"/>
      <w:szCs w:val="19"/>
      <w:lang w:val="bg-BG" w:eastAsia="ar-SA"/>
    </w:rPr>
  </w:style>
  <w:style w:type="paragraph" w:customStyle="1" w:styleId="m">
    <w:name w:val="m"/>
    <w:basedOn w:val="Normal"/>
    <w:rsid w:val="00436AE2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DD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Heading2">
    <w:name w:val="heading 2"/>
    <w:basedOn w:val="Normal"/>
    <w:next w:val="Normal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Heading3">
    <w:name w:val="heading 3"/>
    <w:basedOn w:val="Normal"/>
    <w:next w:val="Normal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Heading4">
    <w:name w:val="heading 4"/>
    <w:basedOn w:val="Normal"/>
    <w:next w:val="Normal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Heading6">
    <w:name w:val="heading 6"/>
    <w:basedOn w:val="Normal"/>
    <w:next w:val="Normal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Heading7">
    <w:name w:val="heading 7"/>
    <w:basedOn w:val="Normal"/>
    <w:next w:val="Normal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BA0DD9"/>
    <w:pPr>
      <w:jc w:val="center"/>
    </w:pPr>
  </w:style>
  <w:style w:type="paragraph" w:styleId="BodyTextIndent">
    <w:name w:val="Body Text Indent"/>
    <w:basedOn w:val="Normal"/>
    <w:rsid w:val="00BA0DD9"/>
    <w:pPr>
      <w:ind w:left="360"/>
      <w:jc w:val="center"/>
    </w:pPr>
  </w:style>
  <w:style w:type="paragraph" w:styleId="Header">
    <w:name w:val="header"/>
    <w:basedOn w:val="Normal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0D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0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301B3"/>
  </w:style>
  <w:style w:type="paragraph" w:styleId="BalloonText">
    <w:name w:val="Balloon Text"/>
    <w:basedOn w:val="Normal"/>
    <w:semiHidden/>
    <w:rsid w:val="00DC08F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Normal"/>
    <w:rsid w:val="00CF752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УВЕДОМИТЕЛНО ПИСМО ЗА ОДОБРЕНИЕ</vt:lpstr>
    </vt:vector>
  </TitlesOfParts>
  <Company>DF "Zemedelie"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УВЕДОМИТЕЛНО ПИСМО ЗА ОДОБРЕНИЕ</dc:title>
  <dc:creator>Mihaela Myashkova</dc:creator>
  <dc:description>Уведомително писмо за отстраняване на нередности в 10-дневен срок</dc:description>
  <cp:lastModifiedBy>Admin</cp:lastModifiedBy>
  <cp:revision>10</cp:revision>
  <cp:lastPrinted>2010-08-06T11:06:00Z</cp:lastPrinted>
  <dcterms:created xsi:type="dcterms:W3CDTF">2017-10-08T20:30:00Z</dcterms:created>
  <dcterms:modified xsi:type="dcterms:W3CDTF">2018-02-04T12:31:00Z</dcterms:modified>
</cp:coreProperties>
</file>